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00"/>
        <w:gridCol w:w="1701"/>
        <w:gridCol w:w="1701"/>
        <w:gridCol w:w="1701"/>
        <w:gridCol w:w="1701"/>
      </w:tblGrid>
      <w:tr w:rsidR="004C488E" w:rsidRPr="004C488E" w:rsidTr="004C488E">
        <w:trPr>
          <w:tblCellSpacing w:w="0" w:type="dxa"/>
        </w:trPr>
        <w:tc>
          <w:tcPr>
            <w:tcW w:w="3000" w:type="pct"/>
            <w:gridSpan w:val="3"/>
            <w:shd w:val="clear" w:color="auto" w:fill="FFFFFF"/>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Verdana" w:eastAsia="Times New Roman" w:hAnsi="Verdana" w:cs="Times New Roman"/>
                <w:color w:val="444444"/>
                <w:sz w:val="36"/>
                <w:szCs w:val="36"/>
                <w:lang w:eastAsia="pt-BR"/>
              </w:rPr>
              <w:t xml:space="preserve">Walmir </w:t>
            </w:r>
            <w:proofErr w:type="spellStart"/>
            <w:r w:rsidRPr="004C488E">
              <w:rPr>
                <w:rFonts w:ascii="Verdana" w:eastAsia="Times New Roman" w:hAnsi="Verdana" w:cs="Times New Roman"/>
                <w:color w:val="444444"/>
                <w:sz w:val="36"/>
                <w:szCs w:val="36"/>
                <w:lang w:eastAsia="pt-BR"/>
              </w:rPr>
              <w:t>Genario</w:t>
            </w:r>
            <w:proofErr w:type="spellEnd"/>
            <w:r w:rsidRPr="004C488E">
              <w:rPr>
                <w:rFonts w:ascii="Verdana" w:eastAsia="Times New Roman" w:hAnsi="Verdana" w:cs="Times New Roman"/>
                <w:color w:val="444444"/>
                <w:sz w:val="36"/>
                <w:szCs w:val="36"/>
                <w:lang w:eastAsia="pt-BR"/>
              </w:rPr>
              <w:t xml:space="preserve"> Alves</w:t>
            </w:r>
          </w:p>
        </w:tc>
        <w:tc>
          <w:tcPr>
            <w:tcW w:w="2000" w:type="pct"/>
            <w:gridSpan w:val="2"/>
            <w:shd w:val="clear" w:color="auto" w:fill="FFFFFF"/>
            <w:hideMark/>
          </w:tcPr>
          <w:p w:rsidR="004C488E" w:rsidRPr="004C488E" w:rsidRDefault="004C488E" w:rsidP="004C488E">
            <w:pPr>
              <w:spacing w:after="324" w:line="319" w:lineRule="atLeast"/>
              <w:jc w:val="right"/>
              <w:rPr>
                <w:rFonts w:ascii="Calibri" w:eastAsia="Times New Roman" w:hAnsi="Calibri" w:cs="Times New Roman"/>
                <w:color w:val="444444"/>
                <w:sz w:val="23"/>
                <w:szCs w:val="23"/>
                <w:lang w:eastAsia="pt-BR"/>
              </w:rPr>
            </w:pPr>
            <w:r w:rsidRPr="004C488E">
              <w:rPr>
                <w:rFonts w:ascii="Verdana" w:eastAsia="Times New Roman" w:hAnsi="Verdana" w:cs="Times New Roman"/>
                <w:color w:val="444444"/>
                <w:sz w:val="15"/>
                <w:szCs w:val="15"/>
                <w:lang w:eastAsia="pt-BR"/>
              </w:rPr>
              <w:t xml:space="preserve">Rua João Manoel de Faria 154 </w:t>
            </w:r>
            <w:proofErr w:type="spellStart"/>
            <w:r w:rsidRPr="004C488E">
              <w:rPr>
                <w:rFonts w:ascii="Verdana" w:eastAsia="Times New Roman" w:hAnsi="Verdana" w:cs="Times New Roman"/>
                <w:color w:val="444444"/>
                <w:sz w:val="15"/>
                <w:szCs w:val="15"/>
                <w:lang w:eastAsia="pt-BR"/>
              </w:rPr>
              <w:t>Jokey</w:t>
            </w:r>
            <w:proofErr w:type="spellEnd"/>
            <w:r w:rsidRPr="004C488E">
              <w:rPr>
                <w:rFonts w:ascii="Verdana" w:eastAsia="Times New Roman" w:hAnsi="Verdana" w:cs="Times New Roman"/>
                <w:color w:val="444444"/>
                <w:sz w:val="15"/>
                <w:szCs w:val="15"/>
                <w:lang w:eastAsia="pt-BR"/>
              </w:rPr>
              <w:t xml:space="preserve"> clube</w:t>
            </w:r>
            <w:r w:rsidRPr="004C488E">
              <w:rPr>
                <w:rFonts w:ascii="Verdana" w:eastAsia="Times New Roman" w:hAnsi="Verdana" w:cs="Times New Roman"/>
                <w:color w:val="444444"/>
                <w:sz w:val="15"/>
                <w:szCs w:val="15"/>
                <w:lang w:eastAsia="pt-BR"/>
              </w:rPr>
              <w:br/>
              <w:t>28020-410 Campos dos Goytacazes, Rio de Janeiro </w:t>
            </w:r>
            <w:r w:rsidRPr="004C488E">
              <w:rPr>
                <w:rFonts w:ascii="Verdana" w:eastAsia="Times New Roman" w:hAnsi="Verdana" w:cs="Times New Roman"/>
                <w:color w:val="444444"/>
                <w:sz w:val="15"/>
                <w:szCs w:val="15"/>
                <w:lang w:eastAsia="pt-BR"/>
              </w:rPr>
              <w:br/>
              <w:t>22-997645817/22 27386774</w:t>
            </w:r>
            <w:r w:rsidRPr="004C488E">
              <w:rPr>
                <w:rFonts w:ascii="Verdana" w:eastAsia="Times New Roman" w:hAnsi="Verdana" w:cs="Times New Roman"/>
                <w:color w:val="444444"/>
                <w:sz w:val="15"/>
                <w:szCs w:val="15"/>
                <w:lang w:eastAsia="pt-BR"/>
              </w:rPr>
              <w:br/>
            </w:r>
            <w:proofErr w:type="spellStart"/>
            <w:r w:rsidRPr="004C488E">
              <w:rPr>
                <w:rFonts w:ascii="Verdana" w:eastAsia="Times New Roman" w:hAnsi="Verdana" w:cs="Times New Roman"/>
                <w:color w:val="444444"/>
                <w:sz w:val="15"/>
                <w:szCs w:val="15"/>
                <w:lang w:eastAsia="pt-BR"/>
              </w:rPr>
              <w:t>cel</w:t>
            </w:r>
            <w:proofErr w:type="spellEnd"/>
            <w:r w:rsidRPr="004C488E">
              <w:rPr>
                <w:rFonts w:ascii="Verdana" w:eastAsia="Times New Roman" w:hAnsi="Verdana" w:cs="Times New Roman"/>
                <w:color w:val="444444"/>
                <w:sz w:val="15"/>
                <w:szCs w:val="15"/>
                <w:lang w:eastAsia="pt-BR"/>
              </w:rPr>
              <w:t xml:space="preserve"> 55 (22) 99764-5817</w:t>
            </w:r>
            <w:r w:rsidRPr="004C488E">
              <w:rPr>
                <w:rFonts w:ascii="Verdana" w:eastAsia="Times New Roman" w:hAnsi="Verdana" w:cs="Times New Roman"/>
                <w:color w:val="444444"/>
                <w:sz w:val="15"/>
                <w:szCs w:val="15"/>
                <w:lang w:eastAsia="pt-BR"/>
              </w:rPr>
              <w:br/>
            </w:r>
            <w:proofErr w:type="gramStart"/>
            <w:r w:rsidRPr="004C488E">
              <w:rPr>
                <w:rFonts w:ascii="Verdana" w:eastAsia="Times New Roman" w:hAnsi="Verdana" w:cs="Times New Roman"/>
                <w:color w:val="444444"/>
                <w:sz w:val="15"/>
                <w:szCs w:val="15"/>
                <w:lang w:eastAsia="pt-BR"/>
              </w:rPr>
              <w:t>walmirgenario03@hotmail.com</w:t>
            </w:r>
            <w:proofErr w:type="gramEnd"/>
          </w:p>
        </w:tc>
      </w:tr>
      <w:tr w:rsidR="004C488E" w:rsidRPr="004C488E" w:rsidTr="004C488E">
        <w:trPr>
          <w:tblCellSpacing w:w="0" w:type="dxa"/>
        </w:trPr>
        <w:tc>
          <w:tcPr>
            <w:tcW w:w="1000" w:type="pct"/>
            <w:shd w:val="clear" w:color="auto" w:fill="FFFFFF"/>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CNH cat. AD</w:t>
            </w:r>
          </w:p>
        </w:tc>
      </w:tr>
      <w:tr w:rsidR="004C488E" w:rsidRPr="004C488E" w:rsidTr="004C488E">
        <w:trPr>
          <w:tblCellSpacing w:w="0" w:type="dxa"/>
        </w:trPr>
        <w:tc>
          <w:tcPr>
            <w:tcW w:w="5000" w:type="pct"/>
            <w:gridSpan w:val="5"/>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Verdana" w:eastAsia="Times New Roman" w:hAnsi="Verdana" w:cs="Times New Roman"/>
                <w:b/>
                <w:bCs/>
                <w:color w:val="444444"/>
                <w:sz w:val="24"/>
                <w:szCs w:val="24"/>
                <w:lang w:eastAsia="pt-BR"/>
              </w:rPr>
              <w:t>Objetivo</w:t>
            </w:r>
          </w:p>
        </w:tc>
      </w:tr>
      <w:tr w:rsidR="004C488E" w:rsidRPr="004C488E" w:rsidTr="004C488E">
        <w:trPr>
          <w:tblCellSpacing w:w="0" w:type="dxa"/>
        </w:trPr>
        <w:tc>
          <w:tcPr>
            <w:tcW w:w="5000" w:type="pct"/>
            <w:gridSpan w:val="5"/>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Pr>
                <w:rFonts w:ascii="Verdana" w:eastAsia="Times New Roman" w:hAnsi="Verdana" w:cs="Times New Roman"/>
                <w:color w:val="444444"/>
                <w:sz w:val="20"/>
                <w:szCs w:val="20"/>
                <w:lang w:eastAsia="pt-BR"/>
              </w:rPr>
              <w:t>Trabalhar no setor de VENDAS</w:t>
            </w:r>
            <w:bookmarkStart w:id="0" w:name="_GoBack"/>
            <w:bookmarkEnd w:id="0"/>
          </w:p>
        </w:tc>
      </w:tr>
      <w:tr w:rsidR="004C488E" w:rsidRPr="004C488E" w:rsidTr="004C488E">
        <w:trPr>
          <w:tblCellSpacing w:w="0" w:type="dxa"/>
        </w:trPr>
        <w:tc>
          <w:tcPr>
            <w:tcW w:w="1000" w:type="pct"/>
            <w:shd w:val="clear" w:color="auto" w:fill="FFFFFF"/>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r>
      <w:tr w:rsidR="004C488E" w:rsidRPr="004C488E" w:rsidTr="004C488E">
        <w:trPr>
          <w:tblCellSpacing w:w="0" w:type="dxa"/>
        </w:trPr>
        <w:tc>
          <w:tcPr>
            <w:tcW w:w="5000" w:type="pct"/>
            <w:gridSpan w:val="5"/>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Verdana" w:eastAsia="Times New Roman" w:hAnsi="Verdana" w:cs="Times New Roman"/>
                <w:b/>
                <w:bCs/>
                <w:color w:val="444444"/>
                <w:sz w:val="24"/>
                <w:szCs w:val="24"/>
                <w:lang w:eastAsia="pt-BR"/>
              </w:rPr>
              <w:t>Perfil profissional</w:t>
            </w:r>
          </w:p>
        </w:tc>
      </w:tr>
      <w:tr w:rsidR="004C488E" w:rsidRPr="004C488E" w:rsidTr="004C488E">
        <w:trPr>
          <w:tblCellSpacing w:w="0" w:type="dxa"/>
        </w:trPr>
        <w:tc>
          <w:tcPr>
            <w:tcW w:w="5000" w:type="pct"/>
            <w:gridSpan w:val="5"/>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Verdana" w:eastAsia="Times New Roman" w:hAnsi="Verdana" w:cs="Times New Roman"/>
                <w:b/>
                <w:bCs/>
                <w:color w:val="444444"/>
                <w:sz w:val="20"/>
                <w:szCs w:val="20"/>
                <w:lang w:eastAsia="pt-BR"/>
              </w:rPr>
              <w:t>Operador na SCHULZ BC</w:t>
            </w:r>
            <w:r w:rsidRPr="004C488E">
              <w:rPr>
                <w:rFonts w:ascii="Verdana" w:eastAsia="Times New Roman" w:hAnsi="Verdana" w:cs="Times New Roman"/>
                <w:color w:val="444444"/>
                <w:sz w:val="20"/>
                <w:szCs w:val="20"/>
                <w:lang w:eastAsia="pt-BR"/>
              </w:rPr>
              <w:t> fábrica de conexões em aço inox, atuei como operador de maquinas</w:t>
            </w:r>
            <w:proofErr w:type="gramStart"/>
            <w:r w:rsidRPr="004C488E">
              <w:rPr>
                <w:rFonts w:ascii="Verdana" w:eastAsia="Times New Roman" w:hAnsi="Verdana" w:cs="Times New Roman"/>
                <w:color w:val="444444"/>
                <w:sz w:val="20"/>
                <w:szCs w:val="20"/>
                <w:lang w:eastAsia="pt-BR"/>
              </w:rPr>
              <w:t xml:space="preserve"> mas</w:t>
            </w:r>
            <w:proofErr w:type="gramEnd"/>
            <w:r w:rsidRPr="004C488E">
              <w:rPr>
                <w:rFonts w:ascii="Verdana" w:eastAsia="Times New Roman" w:hAnsi="Verdana" w:cs="Times New Roman"/>
                <w:color w:val="444444"/>
                <w:sz w:val="20"/>
                <w:szCs w:val="20"/>
                <w:lang w:eastAsia="pt-BR"/>
              </w:rPr>
              <w:t xml:space="preserve"> trabalhei também com a manutenção corretiva das maquinas do meu setor (setor de usinagem)e para isso trabalhei com os processos de soldagem TIG/ER, bem como uso de instrumentos de metrologia e conhecimentos em manutenção mecânica. Por se tratar de uma empresa multinacional alemã, para me reportar aos supervisores alemães  me comunicava em INGLÊS. No período que trabalhei na SCHULZ concluí curso de INSPEÇÃO DE SOLDA N1, porém não me qualifiquei junto a FBTS</w:t>
            </w:r>
            <w:proofErr w:type="gramStart"/>
            <w:r w:rsidRPr="004C488E">
              <w:rPr>
                <w:rFonts w:ascii="Verdana" w:eastAsia="Times New Roman" w:hAnsi="Verdana" w:cs="Times New Roman"/>
                <w:color w:val="444444"/>
                <w:sz w:val="20"/>
                <w:szCs w:val="20"/>
                <w:lang w:eastAsia="pt-BR"/>
              </w:rPr>
              <w:t xml:space="preserve"> pois</w:t>
            </w:r>
            <w:proofErr w:type="gramEnd"/>
            <w:r w:rsidRPr="004C488E">
              <w:rPr>
                <w:rFonts w:ascii="Verdana" w:eastAsia="Times New Roman" w:hAnsi="Verdana" w:cs="Times New Roman"/>
                <w:color w:val="444444"/>
                <w:sz w:val="20"/>
                <w:szCs w:val="20"/>
                <w:lang w:eastAsia="pt-BR"/>
              </w:rPr>
              <w:t xml:space="preserve"> passei a trabalhar em outra empresa a qual não exercia as mesmas funções.                                           </w:t>
            </w:r>
            <w:r w:rsidRPr="004C488E">
              <w:rPr>
                <w:rFonts w:ascii="Verdana" w:eastAsia="Times New Roman" w:hAnsi="Verdana" w:cs="Times New Roman"/>
                <w:b/>
                <w:bCs/>
                <w:color w:val="444444"/>
                <w:sz w:val="20"/>
                <w:szCs w:val="20"/>
                <w:lang w:eastAsia="pt-BR"/>
              </w:rPr>
              <w:t>Soldador PRIDE DO BRASIL SERVIÇOS DE PETRÓLEO</w:t>
            </w:r>
            <w:r w:rsidRPr="004C488E">
              <w:rPr>
                <w:rFonts w:ascii="Verdana" w:eastAsia="Times New Roman" w:hAnsi="Verdana" w:cs="Times New Roman"/>
                <w:color w:val="444444"/>
                <w:sz w:val="20"/>
                <w:szCs w:val="20"/>
                <w:lang w:eastAsia="pt-BR"/>
              </w:rPr>
              <w:t xml:space="preserve"> que posteriormente passou a se </w:t>
            </w:r>
            <w:proofErr w:type="spellStart"/>
            <w:r w:rsidRPr="004C488E">
              <w:rPr>
                <w:rFonts w:ascii="Verdana" w:eastAsia="Times New Roman" w:hAnsi="Verdana" w:cs="Times New Roman"/>
                <w:color w:val="444444"/>
                <w:sz w:val="20"/>
                <w:szCs w:val="20"/>
                <w:lang w:eastAsia="pt-BR"/>
              </w:rPr>
              <w:t>chamar</w:t>
            </w:r>
            <w:r w:rsidRPr="004C488E">
              <w:rPr>
                <w:rFonts w:ascii="Verdana" w:eastAsia="Times New Roman" w:hAnsi="Verdana" w:cs="Times New Roman"/>
                <w:b/>
                <w:bCs/>
                <w:color w:val="444444"/>
                <w:sz w:val="20"/>
                <w:szCs w:val="20"/>
                <w:lang w:eastAsia="pt-BR"/>
              </w:rPr>
              <w:t>ENSCO</w:t>
            </w:r>
            <w:proofErr w:type="spellEnd"/>
            <w:r w:rsidRPr="004C488E">
              <w:rPr>
                <w:rFonts w:ascii="Verdana" w:eastAsia="Times New Roman" w:hAnsi="Verdana" w:cs="Times New Roman"/>
                <w:b/>
                <w:bCs/>
                <w:color w:val="444444"/>
                <w:sz w:val="20"/>
                <w:szCs w:val="20"/>
                <w:lang w:eastAsia="pt-BR"/>
              </w:rPr>
              <w:t xml:space="preserve"> DRILLING OFFSHORE</w:t>
            </w:r>
            <w:r w:rsidRPr="004C488E">
              <w:rPr>
                <w:rFonts w:ascii="Verdana" w:eastAsia="Times New Roman" w:hAnsi="Verdana" w:cs="Times New Roman"/>
                <w:color w:val="444444"/>
                <w:sz w:val="20"/>
                <w:szCs w:val="20"/>
                <w:lang w:eastAsia="pt-BR"/>
              </w:rPr>
              <w:t> por um período de 4 anos, realizando todas as atividades de manutenção referentes as unidades marítimas que trabalhei como a PRIDE VENEZUELA, ENSCO 6000, e ENSCO 6003.Enfim, possuo ótimas qualidades, experiência e conhecimentos que me fazem qualificado para concorrer a uma vaga na Empresa.</w:t>
            </w:r>
          </w:p>
        </w:tc>
      </w:tr>
      <w:tr w:rsidR="004C488E" w:rsidRPr="004C488E" w:rsidTr="004C488E">
        <w:trPr>
          <w:tblCellSpacing w:w="0" w:type="dxa"/>
        </w:trPr>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r>
      <w:tr w:rsidR="004C488E" w:rsidRPr="004C488E" w:rsidTr="004C488E">
        <w:trPr>
          <w:tblCellSpacing w:w="0" w:type="dxa"/>
        </w:trPr>
        <w:tc>
          <w:tcPr>
            <w:tcW w:w="5000" w:type="pct"/>
            <w:gridSpan w:val="5"/>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Verdana" w:eastAsia="Times New Roman" w:hAnsi="Verdana" w:cs="Times New Roman"/>
                <w:b/>
                <w:bCs/>
                <w:color w:val="444444"/>
                <w:sz w:val="24"/>
                <w:szCs w:val="24"/>
                <w:lang w:eastAsia="pt-BR"/>
              </w:rPr>
              <w:t>Formação</w:t>
            </w:r>
          </w:p>
        </w:tc>
      </w:tr>
      <w:tr w:rsidR="004C488E" w:rsidRPr="004C488E" w:rsidTr="004C488E">
        <w:trPr>
          <w:tblCellSpacing w:w="0" w:type="dxa"/>
        </w:trPr>
        <w:tc>
          <w:tcPr>
            <w:tcW w:w="5000" w:type="pct"/>
            <w:gridSpan w:val="5"/>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Verdana" w:eastAsia="Times New Roman" w:hAnsi="Verdana" w:cs="Times New Roman"/>
                <w:b/>
                <w:bCs/>
                <w:color w:val="444444"/>
                <w:sz w:val="20"/>
                <w:szCs w:val="20"/>
                <w:lang w:eastAsia="pt-BR"/>
              </w:rPr>
              <w:t>Escolaridade:</w:t>
            </w:r>
            <w:r w:rsidRPr="004C488E">
              <w:rPr>
                <w:rFonts w:ascii="Verdana" w:eastAsia="Times New Roman" w:hAnsi="Verdana" w:cs="Times New Roman"/>
                <w:color w:val="444444"/>
                <w:sz w:val="20"/>
                <w:szCs w:val="20"/>
                <w:lang w:eastAsia="pt-BR"/>
              </w:rPr>
              <w:br/>
              <w:t>Ensino Médio (2o. Grau) completo.</w:t>
            </w:r>
            <w:r w:rsidRPr="004C488E">
              <w:rPr>
                <w:rFonts w:ascii="Verdana" w:eastAsia="Times New Roman" w:hAnsi="Verdana" w:cs="Times New Roman"/>
                <w:b/>
                <w:bCs/>
                <w:color w:val="444444"/>
                <w:sz w:val="20"/>
                <w:szCs w:val="20"/>
                <w:lang w:eastAsia="pt-BR"/>
              </w:rPr>
              <w:t xml:space="preserve"> CEFET </w:t>
            </w:r>
            <w:proofErr w:type="gramStart"/>
            <w:r w:rsidRPr="004C488E">
              <w:rPr>
                <w:rFonts w:ascii="Verdana" w:eastAsia="Times New Roman" w:hAnsi="Verdana" w:cs="Times New Roman"/>
                <w:b/>
                <w:bCs/>
                <w:color w:val="444444"/>
                <w:sz w:val="20"/>
                <w:szCs w:val="20"/>
                <w:lang w:eastAsia="pt-BR"/>
              </w:rPr>
              <w:t>CAMPOS</w:t>
            </w:r>
            <w:proofErr w:type="gramEnd"/>
          </w:p>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Verdana" w:eastAsia="Times New Roman" w:hAnsi="Verdana" w:cs="Times New Roman"/>
                <w:color w:val="444444"/>
                <w:sz w:val="20"/>
                <w:szCs w:val="20"/>
                <w:lang w:eastAsia="pt-BR"/>
              </w:rPr>
              <w:t>Manutenção industrial.</w:t>
            </w:r>
            <w:r w:rsidRPr="004C488E">
              <w:rPr>
                <w:rFonts w:ascii="Verdana" w:eastAsia="Times New Roman" w:hAnsi="Verdana" w:cs="Times New Roman"/>
                <w:b/>
                <w:bCs/>
                <w:color w:val="444444"/>
                <w:sz w:val="20"/>
                <w:szCs w:val="20"/>
                <w:lang w:eastAsia="pt-BR"/>
              </w:rPr>
              <w:t xml:space="preserve"> CEFET </w:t>
            </w:r>
            <w:proofErr w:type="gramStart"/>
            <w:r w:rsidRPr="004C488E">
              <w:rPr>
                <w:rFonts w:ascii="Verdana" w:eastAsia="Times New Roman" w:hAnsi="Verdana" w:cs="Times New Roman"/>
                <w:b/>
                <w:bCs/>
                <w:color w:val="444444"/>
                <w:sz w:val="20"/>
                <w:szCs w:val="20"/>
                <w:lang w:eastAsia="pt-BR"/>
              </w:rPr>
              <w:t>CAMPOS</w:t>
            </w:r>
            <w:proofErr w:type="gramEnd"/>
          </w:p>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Verdana" w:eastAsia="Times New Roman" w:hAnsi="Verdana" w:cs="Times New Roman"/>
                <w:b/>
                <w:bCs/>
                <w:color w:val="444444"/>
                <w:sz w:val="20"/>
                <w:szCs w:val="20"/>
                <w:lang w:eastAsia="pt-BR"/>
              </w:rPr>
              <w:lastRenderedPageBreak/>
              <w:t>Cursos Complementares:</w:t>
            </w:r>
          </w:p>
          <w:p w:rsidR="004C488E" w:rsidRPr="004C488E" w:rsidRDefault="004C488E" w:rsidP="004C488E">
            <w:pPr>
              <w:spacing w:after="324" w:line="319" w:lineRule="atLeast"/>
              <w:ind w:hanging="360"/>
              <w:rPr>
                <w:rFonts w:ascii="Calibri" w:eastAsia="Times New Roman" w:hAnsi="Calibri" w:cs="Times New Roman"/>
                <w:color w:val="444444"/>
                <w:sz w:val="23"/>
                <w:szCs w:val="23"/>
                <w:lang w:eastAsia="pt-BR"/>
              </w:rPr>
            </w:pPr>
            <w:r w:rsidRPr="004C488E">
              <w:rPr>
                <w:rFonts w:ascii="Symbol" w:eastAsia="Times New Roman" w:hAnsi="Symbol" w:cs="Times New Roman"/>
                <w:color w:val="444444"/>
                <w:sz w:val="20"/>
                <w:szCs w:val="20"/>
                <w:lang w:eastAsia="pt-BR"/>
              </w:rPr>
              <w:t></w:t>
            </w:r>
            <w:r w:rsidRPr="004C488E">
              <w:rPr>
                <w:rFonts w:ascii="Times New Roman" w:eastAsia="Times New Roman" w:hAnsi="Times New Roman" w:cs="Times New Roman"/>
                <w:color w:val="444444"/>
                <w:sz w:val="14"/>
                <w:szCs w:val="14"/>
                <w:lang w:eastAsia="pt-BR"/>
              </w:rPr>
              <w:t>         </w:t>
            </w:r>
            <w:r w:rsidRPr="004C488E">
              <w:rPr>
                <w:rFonts w:ascii="Verdana" w:eastAsia="Times New Roman" w:hAnsi="Verdana" w:cs="Times New Roman"/>
                <w:i/>
                <w:iCs/>
                <w:color w:val="444444"/>
                <w:sz w:val="20"/>
                <w:szCs w:val="20"/>
                <w:lang w:eastAsia="pt-BR"/>
              </w:rPr>
              <w:t>inspeção de solda</w:t>
            </w:r>
            <w:r w:rsidRPr="004C488E">
              <w:rPr>
                <w:rFonts w:ascii="Verdana" w:eastAsia="Times New Roman" w:hAnsi="Verdana" w:cs="Times New Roman"/>
                <w:color w:val="444444"/>
                <w:sz w:val="20"/>
                <w:szCs w:val="20"/>
                <w:lang w:eastAsia="pt-BR"/>
              </w:rPr>
              <w:t>, WS consultoria engenharia e treinamento (novembro/2009) – concluída.</w:t>
            </w:r>
          </w:p>
          <w:p w:rsidR="004C488E" w:rsidRPr="004C488E" w:rsidRDefault="004C488E" w:rsidP="004C488E">
            <w:pPr>
              <w:numPr>
                <w:ilvl w:val="0"/>
                <w:numId w:val="1"/>
              </w:numPr>
              <w:spacing w:after="45" w:line="319" w:lineRule="atLeast"/>
              <w:ind w:left="240"/>
              <w:rPr>
                <w:rFonts w:ascii="Calibri" w:eastAsia="Times New Roman" w:hAnsi="Calibri" w:cs="Times New Roman"/>
                <w:color w:val="444444"/>
                <w:sz w:val="23"/>
                <w:szCs w:val="23"/>
                <w:lang w:eastAsia="pt-BR"/>
              </w:rPr>
            </w:pPr>
            <w:proofErr w:type="gramStart"/>
            <w:r w:rsidRPr="004C488E">
              <w:rPr>
                <w:rFonts w:ascii="Verdana" w:eastAsia="Times New Roman" w:hAnsi="Verdana" w:cs="Times New Roman"/>
                <w:i/>
                <w:iCs/>
                <w:color w:val="444444"/>
                <w:sz w:val="20"/>
                <w:szCs w:val="20"/>
                <w:lang w:eastAsia="pt-BR"/>
              </w:rPr>
              <w:t>soldagem</w:t>
            </w:r>
            <w:proofErr w:type="gramEnd"/>
            <w:r w:rsidRPr="004C488E">
              <w:rPr>
                <w:rFonts w:ascii="Verdana" w:eastAsia="Times New Roman" w:hAnsi="Verdana" w:cs="Times New Roman"/>
                <w:i/>
                <w:iCs/>
                <w:color w:val="444444"/>
                <w:sz w:val="20"/>
                <w:szCs w:val="20"/>
                <w:lang w:eastAsia="pt-BR"/>
              </w:rPr>
              <w:t xml:space="preserve"> com processo TIG</w:t>
            </w:r>
            <w:r w:rsidRPr="004C488E">
              <w:rPr>
                <w:rFonts w:ascii="Verdana" w:eastAsia="Times New Roman" w:hAnsi="Verdana" w:cs="Times New Roman"/>
                <w:color w:val="444444"/>
                <w:sz w:val="20"/>
                <w:szCs w:val="20"/>
                <w:lang w:eastAsia="pt-BR"/>
              </w:rPr>
              <w:t>, SENAI CAMPOS (fevereiro/2009) - concluída.</w:t>
            </w:r>
          </w:p>
          <w:p w:rsidR="004C488E" w:rsidRPr="004C488E" w:rsidRDefault="004C488E" w:rsidP="004C488E">
            <w:pPr>
              <w:numPr>
                <w:ilvl w:val="0"/>
                <w:numId w:val="1"/>
              </w:numPr>
              <w:spacing w:after="45" w:line="319" w:lineRule="atLeast"/>
              <w:ind w:left="240"/>
              <w:rPr>
                <w:rFonts w:ascii="Calibri" w:eastAsia="Times New Roman" w:hAnsi="Calibri" w:cs="Times New Roman"/>
                <w:color w:val="444444"/>
                <w:sz w:val="23"/>
                <w:szCs w:val="23"/>
                <w:lang w:eastAsia="pt-BR"/>
              </w:rPr>
            </w:pPr>
            <w:proofErr w:type="gramStart"/>
            <w:r w:rsidRPr="004C488E">
              <w:rPr>
                <w:rFonts w:ascii="Verdana" w:eastAsia="Times New Roman" w:hAnsi="Verdana" w:cs="Times New Roman"/>
                <w:i/>
                <w:iCs/>
                <w:color w:val="444444"/>
                <w:sz w:val="20"/>
                <w:szCs w:val="20"/>
                <w:lang w:eastAsia="pt-BR"/>
              </w:rPr>
              <w:t>informática</w:t>
            </w:r>
            <w:proofErr w:type="gramEnd"/>
            <w:r w:rsidRPr="004C488E">
              <w:rPr>
                <w:rFonts w:ascii="Verdana" w:eastAsia="Times New Roman" w:hAnsi="Verdana" w:cs="Times New Roman"/>
                <w:color w:val="444444"/>
                <w:sz w:val="20"/>
                <w:szCs w:val="20"/>
                <w:lang w:eastAsia="pt-BR"/>
              </w:rPr>
              <w:t>, CEFET CAMPOS (dezembro/2004) - concluída.</w:t>
            </w:r>
          </w:p>
          <w:p w:rsidR="004C488E" w:rsidRPr="004C488E" w:rsidRDefault="004C488E" w:rsidP="004C488E">
            <w:pPr>
              <w:numPr>
                <w:ilvl w:val="0"/>
                <w:numId w:val="1"/>
              </w:numPr>
              <w:spacing w:after="45" w:line="319" w:lineRule="atLeast"/>
              <w:ind w:left="240"/>
              <w:rPr>
                <w:rFonts w:ascii="Calibri" w:eastAsia="Times New Roman" w:hAnsi="Calibri" w:cs="Times New Roman"/>
                <w:color w:val="444444"/>
                <w:sz w:val="23"/>
                <w:szCs w:val="23"/>
                <w:lang w:eastAsia="pt-BR"/>
              </w:rPr>
            </w:pPr>
            <w:r w:rsidRPr="004C488E">
              <w:rPr>
                <w:rFonts w:ascii="Verdana" w:eastAsia="Times New Roman" w:hAnsi="Verdana" w:cs="Times New Roman"/>
                <w:i/>
                <w:iCs/>
                <w:color w:val="444444"/>
                <w:sz w:val="20"/>
                <w:szCs w:val="20"/>
                <w:lang w:eastAsia="pt-BR"/>
              </w:rPr>
              <w:t>Espanhol</w:t>
            </w:r>
            <w:r w:rsidRPr="004C488E">
              <w:rPr>
                <w:rFonts w:ascii="Verdana" w:eastAsia="Times New Roman" w:hAnsi="Verdana" w:cs="Times New Roman"/>
                <w:color w:val="444444"/>
                <w:sz w:val="20"/>
                <w:szCs w:val="20"/>
                <w:lang w:eastAsia="pt-BR"/>
              </w:rPr>
              <w:t>, CNA (janeiro/2004) - concluída.</w:t>
            </w:r>
          </w:p>
          <w:p w:rsidR="004C488E" w:rsidRPr="004C488E" w:rsidRDefault="004C488E" w:rsidP="004C488E">
            <w:pPr>
              <w:numPr>
                <w:ilvl w:val="0"/>
                <w:numId w:val="1"/>
              </w:numPr>
              <w:spacing w:after="45" w:line="319" w:lineRule="atLeast"/>
              <w:ind w:left="240"/>
              <w:rPr>
                <w:rFonts w:ascii="Calibri" w:eastAsia="Times New Roman" w:hAnsi="Calibri" w:cs="Times New Roman"/>
                <w:color w:val="444444"/>
                <w:sz w:val="23"/>
                <w:szCs w:val="23"/>
                <w:lang w:eastAsia="pt-BR"/>
              </w:rPr>
            </w:pPr>
            <w:r w:rsidRPr="004C488E">
              <w:rPr>
                <w:rFonts w:ascii="Verdana" w:eastAsia="Times New Roman" w:hAnsi="Verdana" w:cs="Times New Roman"/>
                <w:i/>
                <w:iCs/>
                <w:color w:val="444444"/>
                <w:sz w:val="20"/>
                <w:szCs w:val="20"/>
                <w:lang w:eastAsia="pt-BR"/>
              </w:rPr>
              <w:t>Inglês</w:t>
            </w:r>
            <w:r w:rsidRPr="004C488E">
              <w:rPr>
                <w:rFonts w:ascii="Verdana" w:eastAsia="Times New Roman" w:hAnsi="Verdana" w:cs="Times New Roman"/>
                <w:color w:val="444444"/>
                <w:sz w:val="20"/>
                <w:szCs w:val="20"/>
                <w:lang w:eastAsia="pt-BR"/>
              </w:rPr>
              <w:t>, NOVA ACRPOLE - interrompida.</w:t>
            </w:r>
          </w:p>
          <w:p w:rsidR="004C488E" w:rsidRPr="004C488E" w:rsidRDefault="004C488E" w:rsidP="004C488E">
            <w:pPr>
              <w:numPr>
                <w:ilvl w:val="0"/>
                <w:numId w:val="1"/>
              </w:numPr>
              <w:spacing w:after="45" w:line="319" w:lineRule="atLeast"/>
              <w:ind w:left="240"/>
              <w:rPr>
                <w:rFonts w:ascii="Calibri" w:eastAsia="Times New Roman" w:hAnsi="Calibri" w:cs="Times New Roman"/>
                <w:color w:val="444444"/>
                <w:sz w:val="23"/>
                <w:szCs w:val="23"/>
                <w:lang w:eastAsia="pt-BR"/>
              </w:rPr>
            </w:pPr>
            <w:r w:rsidRPr="004C488E">
              <w:rPr>
                <w:rFonts w:ascii="Verdana" w:eastAsia="Times New Roman" w:hAnsi="Verdana" w:cs="Times New Roman"/>
                <w:i/>
                <w:iCs/>
                <w:color w:val="444444"/>
                <w:sz w:val="20"/>
                <w:szCs w:val="20"/>
                <w:lang w:eastAsia="pt-BR"/>
              </w:rPr>
              <w:t xml:space="preserve">Segurança em plataforma- </w:t>
            </w:r>
            <w:proofErr w:type="spellStart"/>
            <w:r w:rsidRPr="004C488E">
              <w:rPr>
                <w:rFonts w:ascii="Verdana" w:eastAsia="Times New Roman" w:hAnsi="Verdana" w:cs="Times New Roman"/>
                <w:i/>
                <w:iCs/>
                <w:color w:val="444444"/>
                <w:sz w:val="20"/>
                <w:szCs w:val="20"/>
                <w:lang w:eastAsia="pt-BR"/>
              </w:rPr>
              <w:t>Falck</w:t>
            </w:r>
            <w:proofErr w:type="spellEnd"/>
            <w:r w:rsidRPr="004C488E">
              <w:rPr>
                <w:rFonts w:ascii="Verdana" w:eastAsia="Times New Roman" w:hAnsi="Verdana" w:cs="Times New Roman"/>
                <w:i/>
                <w:iCs/>
                <w:color w:val="444444"/>
                <w:sz w:val="20"/>
                <w:szCs w:val="20"/>
                <w:lang w:eastAsia="pt-BR"/>
              </w:rPr>
              <w:t xml:space="preserve"> </w:t>
            </w:r>
            <w:proofErr w:type="spellStart"/>
            <w:r w:rsidRPr="004C488E">
              <w:rPr>
                <w:rFonts w:ascii="Verdana" w:eastAsia="Times New Roman" w:hAnsi="Verdana" w:cs="Times New Roman"/>
                <w:i/>
                <w:iCs/>
                <w:color w:val="444444"/>
                <w:sz w:val="20"/>
                <w:szCs w:val="20"/>
                <w:lang w:eastAsia="pt-BR"/>
              </w:rPr>
              <w:t>Nutec</w:t>
            </w:r>
            <w:proofErr w:type="spellEnd"/>
          </w:p>
          <w:p w:rsidR="004C488E" w:rsidRPr="004C488E" w:rsidRDefault="004C488E" w:rsidP="004C488E">
            <w:pPr>
              <w:numPr>
                <w:ilvl w:val="0"/>
                <w:numId w:val="1"/>
              </w:numPr>
              <w:spacing w:after="45" w:line="319" w:lineRule="atLeast"/>
              <w:ind w:left="240"/>
              <w:rPr>
                <w:rFonts w:ascii="Calibri" w:eastAsia="Times New Roman" w:hAnsi="Calibri" w:cs="Times New Roman"/>
                <w:color w:val="444444"/>
                <w:sz w:val="23"/>
                <w:szCs w:val="23"/>
                <w:lang w:eastAsia="pt-BR"/>
              </w:rPr>
            </w:pPr>
            <w:r w:rsidRPr="004C488E">
              <w:rPr>
                <w:rFonts w:ascii="Verdana" w:eastAsia="Times New Roman" w:hAnsi="Verdana" w:cs="Times New Roman"/>
                <w:i/>
                <w:iCs/>
                <w:color w:val="444444"/>
                <w:sz w:val="20"/>
                <w:szCs w:val="20"/>
                <w:lang w:val="en-US" w:eastAsia="pt-BR"/>
              </w:rPr>
              <w:t>Helicopter underwater training</w:t>
            </w:r>
            <w:r w:rsidRPr="004C488E">
              <w:rPr>
                <w:rFonts w:ascii="Verdana" w:eastAsia="Times New Roman" w:hAnsi="Verdana" w:cs="Times New Roman"/>
                <w:i/>
                <w:iCs/>
                <w:color w:val="444444"/>
                <w:sz w:val="20"/>
                <w:szCs w:val="20"/>
                <w:lang w:eastAsia="pt-BR"/>
              </w:rPr>
              <w:t xml:space="preserve">- </w:t>
            </w:r>
            <w:proofErr w:type="spellStart"/>
            <w:r w:rsidRPr="004C488E">
              <w:rPr>
                <w:rFonts w:ascii="Verdana" w:eastAsia="Times New Roman" w:hAnsi="Verdana" w:cs="Times New Roman"/>
                <w:i/>
                <w:iCs/>
                <w:color w:val="444444"/>
                <w:sz w:val="20"/>
                <w:szCs w:val="20"/>
                <w:lang w:eastAsia="pt-BR"/>
              </w:rPr>
              <w:t>Falck</w:t>
            </w:r>
            <w:proofErr w:type="spellEnd"/>
            <w:r w:rsidRPr="004C488E">
              <w:rPr>
                <w:rFonts w:ascii="Verdana" w:eastAsia="Times New Roman" w:hAnsi="Verdana" w:cs="Times New Roman"/>
                <w:i/>
                <w:iCs/>
                <w:color w:val="444444"/>
                <w:sz w:val="20"/>
                <w:szCs w:val="20"/>
                <w:lang w:eastAsia="pt-BR"/>
              </w:rPr>
              <w:t xml:space="preserve"> </w:t>
            </w:r>
            <w:proofErr w:type="spellStart"/>
            <w:r w:rsidRPr="004C488E">
              <w:rPr>
                <w:rFonts w:ascii="Verdana" w:eastAsia="Times New Roman" w:hAnsi="Verdana" w:cs="Times New Roman"/>
                <w:i/>
                <w:iCs/>
                <w:color w:val="444444"/>
                <w:sz w:val="20"/>
                <w:szCs w:val="20"/>
                <w:lang w:eastAsia="pt-BR"/>
              </w:rPr>
              <w:t>Nutec</w:t>
            </w:r>
            <w:proofErr w:type="spellEnd"/>
          </w:p>
          <w:p w:rsidR="004C488E" w:rsidRPr="004C488E" w:rsidRDefault="004C488E" w:rsidP="004C488E">
            <w:pPr>
              <w:numPr>
                <w:ilvl w:val="0"/>
                <w:numId w:val="1"/>
              </w:numPr>
              <w:spacing w:after="45" w:line="319" w:lineRule="atLeast"/>
              <w:ind w:left="240"/>
              <w:rPr>
                <w:rFonts w:ascii="Calibri" w:eastAsia="Times New Roman" w:hAnsi="Calibri" w:cs="Times New Roman"/>
                <w:color w:val="444444"/>
                <w:sz w:val="23"/>
                <w:szCs w:val="23"/>
                <w:lang w:eastAsia="pt-BR"/>
              </w:rPr>
            </w:pPr>
            <w:proofErr w:type="spellStart"/>
            <w:r w:rsidRPr="004C488E">
              <w:rPr>
                <w:rFonts w:ascii="Times New Roman" w:eastAsia="Times New Roman" w:hAnsi="Times New Roman" w:cs="Times New Roman"/>
                <w:color w:val="444444"/>
                <w:sz w:val="24"/>
                <w:szCs w:val="24"/>
                <w:lang w:val="en-US" w:eastAsia="pt-BR"/>
              </w:rPr>
              <w:t>Espaço</w:t>
            </w:r>
            <w:proofErr w:type="spellEnd"/>
            <w:r w:rsidRPr="004C488E">
              <w:rPr>
                <w:rFonts w:ascii="Times New Roman" w:eastAsia="Times New Roman" w:hAnsi="Times New Roman" w:cs="Times New Roman"/>
                <w:color w:val="444444"/>
                <w:sz w:val="24"/>
                <w:szCs w:val="24"/>
                <w:lang w:val="en-US" w:eastAsia="pt-BR"/>
              </w:rPr>
              <w:t xml:space="preserve"> </w:t>
            </w:r>
            <w:proofErr w:type="spellStart"/>
            <w:r w:rsidRPr="004C488E">
              <w:rPr>
                <w:rFonts w:ascii="Times New Roman" w:eastAsia="Times New Roman" w:hAnsi="Times New Roman" w:cs="Times New Roman"/>
                <w:color w:val="444444"/>
                <w:sz w:val="24"/>
                <w:szCs w:val="24"/>
                <w:lang w:val="en-US" w:eastAsia="pt-BR"/>
              </w:rPr>
              <w:t>confinado</w:t>
            </w:r>
            <w:proofErr w:type="spellEnd"/>
            <w:r w:rsidRPr="004C488E">
              <w:rPr>
                <w:rFonts w:ascii="Verdana" w:eastAsia="Times New Roman" w:hAnsi="Verdana" w:cs="Times New Roman"/>
                <w:i/>
                <w:iCs/>
                <w:color w:val="444444"/>
                <w:sz w:val="20"/>
                <w:szCs w:val="20"/>
                <w:lang w:eastAsia="pt-BR"/>
              </w:rPr>
              <w:t xml:space="preserve">- </w:t>
            </w:r>
            <w:proofErr w:type="spellStart"/>
            <w:r w:rsidRPr="004C488E">
              <w:rPr>
                <w:rFonts w:ascii="Verdana" w:eastAsia="Times New Roman" w:hAnsi="Verdana" w:cs="Times New Roman"/>
                <w:i/>
                <w:iCs/>
                <w:color w:val="444444"/>
                <w:sz w:val="20"/>
                <w:szCs w:val="20"/>
                <w:lang w:eastAsia="pt-BR"/>
              </w:rPr>
              <w:t>Falck</w:t>
            </w:r>
            <w:proofErr w:type="spellEnd"/>
            <w:r w:rsidRPr="004C488E">
              <w:rPr>
                <w:rFonts w:ascii="Verdana" w:eastAsia="Times New Roman" w:hAnsi="Verdana" w:cs="Times New Roman"/>
                <w:i/>
                <w:iCs/>
                <w:color w:val="444444"/>
                <w:sz w:val="20"/>
                <w:szCs w:val="20"/>
                <w:lang w:eastAsia="pt-BR"/>
              </w:rPr>
              <w:t xml:space="preserve"> </w:t>
            </w:r>
            <w:proofErr w:type="spellStart"/>
            <w:r w:rsidRPr="004C488E">
              <w:rPr>
                <w:rFonts w:ascii="Verdana" w:eastAsia="Times New Roman" w:hAnsi="Verdana" w:cs="Times New Roman"/>
                <w:i/>
                <w:iCs/>
                <w:color w:val="444444"/>
                <w:sz w:val="20"/>
                <w:szCs w:val="20"/>
                <w:lang w:eastAsia="pt-BR"/>
              </w:rPr>
              <w:t>Nutec</w:t>
            </w:r>
            <w:proofErr w:type="spellEnd"/>
          </w:p>
          <w:p w:rsidR="004C488E" w:rsidRPr="004C488E" w:rsidRDefault="004C488E" w:rsidP="004C488E">
            <w:pPr>
              <w:numPr>
                <w:ilvl w:val="0"/>
                <w:numId w:val="1"/>
              </w:numPr>
              <w:spacing w:after="45" w:line="319" w:lineRule="atLeast"/>
              <w:ind w:left="240"/>
              <w:rPr>
                <w:rFonts w:ascii="Calibri" w:eastAsia="Times New Roman" w:hAnsi="Calibri" w:cs="Times New Roman"/>
                <w:color w:val="444444"/>
                <w:sz w:val="23"/>
                <w:szCs w:val="23"/>
                <w:lang w:eastAsia="pt-BR"/>
              </w:rPr>
            </w:pPr>
            <w:r w:rsidRPr="004C488E">
              <w:rPr>
                <w:rFonts w:ascii="Verdana" w:eastAsia="Times New Roman" w:hAnsi="Verdana" w:cs="Times New Roman"/>
                <w:b/>
                <w:bCs/>
                <w:color w:val="444444"/>
                <w:sz w:val="20"/>
                <w:szCs w:val="20"/>
                <w:lang w:eastAsia="pt-BR"/>
              </w:rPr>
              <w:t xml:space="preserve">Movimentação de </w:t>
            </w:r>
            <w:proofErr w:type="gramStart"/>
            <w:r w:rsidRPr="004C488E">
              <w:rPr>
                <w:rFonts w:ascii="Verdana" w:eastAsia="Times New Roman" w:hAnsi="Verdana" w:cs="Times New Roman"/>
                <w:b/>
                <w:bCs/>
                <w:color w:val="444444"/>
                <w:sz w:val="20"/>
                <w:szCs w:val="20"/>
                <w:lang w:eastAsia="pt-BR"/>
              </w:rPr>
              <w:t>carga(</w:t>
            </w:r>
            <w:proofErr w:type="gramEnd"/>
            <w:r w:rsidRPr="004C488E">
              <w:rPr>
                <w:rFonts w:ascii="Verdana" w:eastAsia="Times New Roman" w:hAnsi="Verdana" w:cs="Times New Roman"/>
                <w:b/>
                <w:bCs/>
                <w:color w:val="444444"/>
                <w:sz w:val="20"/>
                <w:szCs w:val="20"/>
                <w:lang w:eastAsia="pt-BR"/>
              </w:rPr>
              <w:t xml:space="preserve">Ponte rolante, Guindaste, </w:t>
            </w:r>
            <w:proofErr w:type="spellStart"/>
            <w:r w:rsidRPr="004C488E">
              <w:rPr>
                <w:rFonts w:ascii="Verdana" w:eastAsia="Times New Roman" w:hAnsi="Verdana" w:cs="Times New Roman"/>
                <w:b/>
                <w:bCs/>
                <w:color w:val="444444"/>
                <w:sz w:val="20"/>
                <w:szCs w:val="20"/>
                <w:lang w:eastAsia="pt-BR"/>
              </w:rPr>
              <w:t>Risercrane</w:t>
            </w:r>
            <w:proofErr w:type="spellEnd"/>
            <w:r w:rsidRPr="004C488E">
              <w:rPr>
                <w:rFonts w:ascii="Verdana" w:eastAsia="Times New Roman" w:hAnsi="Verdana" w:cs="Times New Roman"/>
                <w:b/>
                <w:bCs/>
                <w:color w:val="444444"/>
                <w:sz w:val="20"/>
                <w:szCs w:val="20"/>
                <w:lang w:eastAsia="pt-BR"/>
              </w:rPr>
              <w:t>)-</w:t>
            </w:r>
            <w:proofErr w:type="spellStart"/>
            <w:r w:rsidRPr="004C488E">
              <w:rPr>
                <w:rFonts w:ascii="Verdana" w:eastAsia="Times New Roman" w:hAnsi="Verdana" w:cs="Times New Roman"/>
                <w:b/>
                <w:bCs/>
                <w:i/>
                <w:iCs/>
                <w:color w:val="444444"/>
                <w:sz w:val="20"/>
                <w:szCs w:val="20"/>
                <w:lang w:eastAsia="pt-BR"/>
              </w:rPr>
              <w:t>FalckNutec</w:t>
            </w:r>
            <w:proofErr w:type="spellEnd"/>
          </w:p>
        </w:tc>
      </w:tr>
      <w:tr w:rsidR="004C488E" w:rsidRPr="004C488E" w:rsidTr="004C488E">
        <w:trPr>
          <w:tblCellSpacing w:w="0" w:type="dxa"/>
        </w:trPr>
        <w:tc>
          <w:tcPr>
            <w:tcW w:w="1000" w:type="pct"/>
            <w:shd w:val="clear" w:color="auto" w:fill="FFFFFF"/>
            <w:vAlign w:val="center"/>
            <w:hideMark/>
          </w:tcPr>
          <w:p w:rsidR="004C488E" w:rsidRPr="004C488E" w:rsidRDefault="004C488E" w:rsidP="004C488E">
            <w:pPr>
              <w:spacing w:after="0" w:line="319" w:lineRule="atLeast"/>
              <w:rPr>
                <w:rFonts w:ascii="Calibri" w:eastAsia="Times New Roman" w:hAnsi="Calibri" w:cs="Times New Roman"/>
                <w:color w:val="444444"/>
                <w:sz w:val="23"/>
                <w:szCs w:val="23"/>
                <w:lang w:eastAsia="pt-BR"/>
              </w:rPr>
            </w:pP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r>
      <w:tr w:rsidR="004C488E" w:rsidRPr="004C488E" w:rsidTr="004C488E">
        <w:trPr>
          <w:tblCellSpacing w:w="0" w:type="dxa"/>
        </w:trPr>
        <w:tc>
          <w:tcPr>
            <w:tcW w:w="5000" w:type="pct"/>
            <w:gridSpan w:val="5"/>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Verdana" w:eastAsia="Times New Roman" w:hAnsi="Verdana" w:cs="Times New Roman"/>
                <w:b/>
                <w:bCs/>
                <w:color w:val="444444"/>
                <w:sz w:val="24"/>
                <w:szCs w:val="24"/>
                <w:lang w:eastAsia="pt-BR"/>
              </w:rPr>
              <w:t>Idiomas</w:t>
            </w:r>
          </w:p>
        </w:tc>
      </w:tr>
      <w:tr w:rsidR="004C488E" w:rsidRPr="004C488E" w:rsidTr="004C488E">
        <w:trPr>
          <w:tblCellSpacing w:w="0" w:type="dxa"/>
        </w:trPr>
        <w:tc>
          <w:tcPr>
            <w:tcW w:w="5000" w:type="pct"/>
            <w:gridSpan w:val="5"/>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Verdana" w:eastAsia="Times New Roman" w:hAnsi="Verdana" w:cs="Times New Roman"/>
                <w:i/>
                <w:iCs/>
                <w:color w:val="444444"/>
                <w:sz w:val="20"/>
                <w:szCs w:val="20"/>
                <w:lang w:eastAsia="pt-BR"/>
              </w:rPr>
              <w:t>Espanhol</w:t>
            </w:r>
            <w:r w:rsidRPr="004C488E">
              <w:rPr>
                <w:rFonts w:ascii="Verdana" w:eastAsia="Times New Roman" w:hAnsi="Verdana" w:cs="Times New Roman"/>
                <w:color w:val="444444"/>
                <w:sz w:val="20"/>
                <w:szCs w:val="20"/>
                <w:lang w:eastAsia="pt-BR"/>
              </w:rPr>
              <w:t>: leitura básica, escrita básica, conversação básica.</w:t>
            </w:r>
            <w:r w:rsidRPr="004C488E">
              <w:rPr>
                <w:rFonts w:ascii="Verdana" w:eastAsia="Times New Roman" w:hAnsi="Verdana" w:cs="Times New Roman"/>
                <w:color w:val="444444"/>
                <w:sz w:val="20"/>
                <w:szCs w:val="20"/>
                <w:lang w:eastAsia="pt-BR"/>
              </w:rPr>
              <w:br/>
            </w:r>
            <w:r w:rsidRPr="004C488E">
              <w:rPr>
                <w:rFonts w:ascii="Verdana" w:eastAsia="Times New Roman" w:hAnsi="Verdana" w:cs="Times New Roman"/>
                <w:i/>
                <w:iCs/>
                <w:color w:val="444444"/>
                <w:sz w:val="20"/>
                <w:szCs w:val="20"/>
                <w:lang w:eastAsia="pt-BR"/>
              </w:rPr>
              <w:t>Inglês</w:t>
            </w:r>
            <w:r w:rsidRPr="004C488E">
              <w:rPr>
                <w:rFonts w:ascii="Verdana" w:eastAsia="Times New Roman" w:hAnsi="Verdana" w:cs="Times New Roman"/>
                <w:color w:val="444444"/>
                <w:sz w:val="20"/>
                <w:szCs w:val="20"/>
                <w:lang w:eastAsia="pt-BR"/>
              </w:rPr>
              <w:t>: leitura básica, escrita básica, conversação básica.</w:t>
            </w:r>
          </w:p>
        </w:tc>
      </w:tr>
      <w:tr w:rsidR="004C488E" w:rsidRPr="004C488E" w:rsidTr="004C488E">
        <w:trPr>
          <w:tblCellSpacing w:w="0" w:type="dxa"/>
        </w:trPr>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c>
          <w:tcPr>
            <w:tcW w:w="1000" w:type="pct"/>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Times New Roman" w:eastAsia="Times New Roman" w:hAnsi="Times New Roman" w:cs="Times New Roman"/>
                <w:color w:val="444444"/>
                <w:sz w:val="24"/>
                <w:szCs w:val="24"/>
                <w:lang w:eastAsia="pt-BR"/>
              </w:rPr>
              <w:t> </w:t>
            </w:r>
          </w:p>
        </w:tc>
      </w:tr>
      <w:tr w:rsidR="004C488E" w:rsidRPr="004C488E" w:rsidTr="004C488E">
        <w:trPr>
          <w:tblCellSpacing w:w="0" w:type="dxa"/>
        </w:trPr>
        <w:tc>
          <w:tcPr>
            <w:tcW w:w="5000" w:type="pct"/>
            <w:gridSpan w:val="5"/>
            <w:shd w:val="clear" w:color="auto" w:fill="FFFFFF"/>
            <w:vAlign w:val="center"/>
            <w:hideMark/>
          </w:tcPr>
          <w:p w:rsidR="004C488E" w:rsidRPr="004C488E" w:rsidRDefault="004C488E" w:rsidP="004C488E">
            <w:pPr>
              <w:spacing w:after="324" w:line="319" w:lineRule="atLeast"/>
              <w:rPr>
                <w:rFonts w:ascii="Calibri" w:eastAsia="Times New Roman" w:hAnsi="Calibri" w:cs="Times New Roman"/>
                <w:color w:val="444444"/>
                <w:sz w:val="23"/>
                <w:szCs w:val="23"/>
                <w:lang w:eastAsia="pt-BR"/>
              </w:rPr>
            </w:pPr>
            <w:r w:rsidRPr="004C488E">
              <w:rPr>
                <w:rFonts w:ascii="Verdana" w:eastAsia="Times New Roman" w:hAnsi="Verdana" w:cs="Times New Roman"/>
                <w:b/>
                <w:bCs/>
                <w:color w:val="444444"/>
                <w:sz w:val="24"/>
                <w:szCs w:val="24"/>
                <w:lang w:eastAsia="pt-BR"/>
              </w:rPr>
              <w:t>Histórico profissional</w:t>
            </w:r>
          </w:p>
        </w:tc>
      </w:tr>
      <w:tr w:rsidR="004C488E" w:rsidRPr="004C488E" w:rsidTr="004C488E">
        <w:trPr>
          <w:tblCellSpacing w:w="0" w:type="dxa"/>
        </w:trPr>
        <w:tc>
          <w:tcPr>
            <w:tcW w:w="5000" w:type="pct"/>
            <w:gridSpan w:val="5"/>
            <w:shd w:val="clear" w:color="auto" w:fill="FFFFFF"/>
            <w:vAlign w:val="center"/>
            <w:hideMark/>
          </w:tcPr>
          <w:p w:rsidR="004C488E" w:rsidRPr="004C488E" w:rsidRDefault="004C488E" w:rsidP="004C488E">
            <w:pPr>
              <w:numPr>
                <w:ilvl w:val="0"/>
                <w:numId w:val="2"/>
              </w:numPr>
              <w:spacing w:after="240" w:line="319" w:lineRule="atLeast"/>
              <w:ind w:left="240"/>
              <w:rPr>
                <w:rFonts w:ascii="Calibri" w:eastAsia="Times New Roman" w:hAnsi="Calibri" w:cs="Times New Roman"/>
                <w:color w:val="444444"/>
                <w:sz w:val="23"/>
                <w:szCs w:val="23"/>
                <w:lang w:eastAsia="pt-BR"/>
              </w:rPr>
            </w:pPr>
            <w:r w:rsidRPr="004C488E">
              <w:rPr>
                <w:rFonts w:ascii="Verdana" w:eastAsia="Times New Roman" w:hAnsi="Verdana" w:cs="Times New Roman"/>
                <w:b/>
                <w:bCs/>
                <w:color w:val="444444"/>
                <w:sz w:val="20"/>
                <w:szCs w:val="20"/>
                <w:lang w:eastAsia="pt-BR"/>
              </w:rPr>
              <w:t>PRIDE/ENSCO</w:t>
            </w:r>
            <w:r w:rsidRPr="004C488E">
              <w:rPr>
                <w:rFonts w:ascii="Verdana" w:eastAsia="Times New Roman" w:hAnsi="Verdana" w:cs="Times New Roman"/>
                <w:color w:val="444444"/>
                <w:sz w:val="20"/>
                <w:szCs w:val="20"/>
                <w:lang w:eastAsia="pt-BR"/>
              </w:rPr>
              <w:t> - de junho/2010 a abril/2014</w:t>
            </w:r>
            <w:r w:rsidRPr="004C488E">
              <w:rPr>
                <w:rFonts w:ascii="Verdana" w:eastAsia="Times New Roman" w:hAnsi="Verdana" w:cs="Times New Roman"/>
                <w:color w:val="444444"/>
                <w:sz w:val="20"/>
                <w:szCs w:val="20"/>
                <w:lang w:eastAsia="pt-BR"/>
              </w:rPr>
              <w:br/>
            </w:r>
            <w:proofErr w:type="gramStart"/>
            <w:r w:rsidRPr="004C488E">
              <w:rPr>
                <w:rFonts w:ascii="Verdana" w:eastAsia="Times New Roman" w:hAnsi="Verdana" w:cs="Times New Roman"/>
                <w:color w:val="444444"/>
                <w:sz w:val="15"/>
                <w:szCs w:val="15"/>
                <w:lang w:eastAsia="pt-BR"/>
              </w:rPr>
              <w:t>(</w:t>
            </w:r>
            <w:proofErr w:type="gramEnd"/>
            <w:r w:rsidRPr="004C488E">
              <w:rPr>
                <w:rFonts w:ascii="Verdana" w:eastAsia="Times New Roman" w:hAnsi="Verdana" w:cs="Times New Roman"/>
                <w:color w:val="444444"/>
                <w:sz w:val="15"/>
                <w:szCs w:val="15"/>
                <w:lang w:eastAsia="pt-BR"/>
              </w:rPr>
              <w:t>Empresa de grande porte - multinacional (Brasil) - no segmento petroquímica)</w:t>
            </w:r>
            <w:r w:rsidRPr="004C488E">
              <w:rPr>
                <w:rFonts w:ascii="Verdana" w:eastAsia="Times New Roman" w:hAnsi="Verdana" w:cs="Times New Roman"/>
                <w:b/>
                <w:bCs/>
                <w:color w:val="444444"/>
                <w:sz w:val="20"/>
                <w:szCs w:val="20"/>
                <w:lang w:eastAsia="pt-BR"/>
              </w:rPr>
              <w:br/>
            </w:r>
            <w:r w:rsidRPr="004C488E">
              <w:rPr>
                <w:rFonts w:ascii="Verdana" w:eastAsia="Times New Roman" w:hAnsi="Verdana" w:cs="Times New Roman"/>
                <w:b/>
                <w:bCs/>
                <w:i/>
                <w:iCs/>
                <w:color w:val="444444"/>
                <w:sz w:val="20"/>
                <w:szCs w:val="20"/>
                <w:lang w:eastAsia="pt-BR"/>
              </w:rPr>
              <w:t>soldador montador</w:t>
            </w:r>
          </w:p>
          <w:p w:rsidR="004C488E" w:rsidRPr="004C488E" w:rsidRDefault="004C488E" w:rsidP="004C488E">
            <w:pPr>
              <w:numPr>
                <w:ilvl w:val="0"/>
                <w:numId w:val="2"/>
              </w:numPr>
              <w:spacing w:after="45" w:line="319" w:lineRule="atLeast"/>
              <w:ind w:left="240"/>
              <w:rPr>
                <w:rFonts w:ascii="Calibri" w:eastAsia="Times New Roman" w:hAnsi="Calibri" w:cs="Times New Roman"/>
                <w:color w:val="444444"/>
                <w:sz w:val="23"/>
                <w:szCs w:val="23"/>
                <w:lang w:eastAsia="pt-BR"/>
              </w:rPr>
            </w:pPr>
            <w:r w:rsidRPr="004C488E">
              <w:rPr>
                <w:rFonts w:ascii="Verdana" w:eastAsia="Times New Roman" w:hAnsi="Verdana" w:cs="Times New Roman"/>
                <w:color w:val="444444"/>
                <w:sz w:val="20"/>
                <w:szCs w:val="20"/>
                <w:lang w:eastAsia="pt-BR"/>
              </w:rPr>
              <w:t xml:space="preserve">Soldagem, manutenção e reparo de todo tipo de estrutura de bordo como estruturas metálicas diversas, </w:t>
            </w:r>
            <w:proofErr w:type="gramStart"/>
            <w:r w:rsidRPr="004C488E">
              <w:rPr>
                <w:rFonts w:ascii="Verdana" w:eastAsia="Times New Roman" w:hAnsi="Verdana" w:cs="Times New Roman"/>
                <w:color w:val="444444"/>
                <w:sz w:val="20"/>
                <w:szCs w:val="20"/>
                <w:lang w:eastAsia="pt-BR"/>
              </w:rPr>
              <w:t>vasos de pressão, uso</w:t>
            </w:r>
            <w:proofErr w:type="gramEnd"/>
            <w:r w:rsidRPr="004C488E">
              <w:rPr>
                <w:rFonts w:ascii="Verdana" w:eastAsia="Times New Roman" w:hAnsi="Verdana" w:cs="Times New Roman"/>
                <w:color w:val="444444"/>
                <w:sz w:val="20"/>
                <w:szCs w:val="20"/>
                <w:lang w:eastAsia="pt-BR"/>
              </w:rPr>
              <w:t xml:space="preserve"> de maçarico, lixadeira, arco submerso, plasma corte entre outros relativos aos processos de manutenção em plataforma. </w:t>
            </w:r>
            <w:r w:rsidRPr="004C488E">
              <w:rPr>
                <w:rFonts w:ascii="Verdana" w:eastAsia="Times New Roman" w:hAnsi="Verdana" w:cs="Times New Roman"/>
                <w:b/>
                <w:bCs/>
                <w:color w:val="444444"/>
                <w:sz w:val="20"/>
                <w:szCs w:val="20"/>
                <w:lang w:eastAsia="pt-BR"/>
              </w:rPr>
              <w:t>Experiência com movimentação de carga.</w:t>
            </w:r>
          </w:p>
          <w:p w:rsidR="004C488E" w:rsidRPr="004C488E" w:rsidRDefault="004C488E" w:rsidP="004C488E">
            <w:pPr>
              <w:numPr>
                <w:ilvl w:val="0"/>
                <w:numId w:val="2"/>
              </w:numPr>
              <w:spacing w:after="45" w:line="319" w:lineRule="atLeast"/>
              <w:ind w:left="240"/>
              <w:rPr>
                <w:rFonts w:ascii="Calibri" w:eastAsia="Times New Roman" w:hAnsi="Calibri" w:cs="Times New Roman"/>
                <w:color w:val="444444"/>
                <w:sz w:val="23"/>
                <w:szCs w:val="23"/>
                <w:lang w:eastAsia="pt-BR"/>
              </w:rPr>
            </w:pPr>
            <w:r w:rsidRPr="004C488E">
              <w:rPr>
                <w:rFonts w:ascii="Verdana" w:eastAsia="Times New Roman" w:hAnsi="Verdana" w:cs="Times New Roman"/>
                <w:b/>
                <w:bCs/>
                <w:color w:val="444444"/>
                <w:sz w:val="20"/>
                <w:szCs w:val="20"/>
                <w:lang w:eastAsia="pt-BR"/>
              </w:rPr>
              <w:t>SCHULZ BC equipamentos e acessórios tubulares</w:t>
            </w:r>
            <w:r w:rsidRPr="004C488E">
              <w:rPr>
                <w:rFonts w:ascii="Verdana" w:eastAsia="Times New Roman" w:hAnsi="Verdana" w:cs="Times New Roman"/>
                <w:color w:val="444444"/>
                <w:sz w:val="20"/>
                <w:szCs w:val="20"/>
                <w:lang w:eastAsia="pt-BR"/>
              </w:rPr>
              <w:t> - de fevereiro/2008 a fevereiro/2010</w:t>
            </w:r>
            <w:r w:rsidRPr="004C488E">
              <w:rPr>
                <w:rFonts w:ascii="Verdana" w:eastAsia="Times New Roman" w:hAnsi="Verdana" w:cs="Times New Roman"/>
                <w:color w:val="444444"/>
                <w:sz w:val="20"/>
                <w:szCs w:val="20"/>
                <w:lang w:eastAsia="pt-BR"/>
              </w:rPr>
              <w:br/>
            </w:r>
            <w:proofErr w:type="gramStart"/>
            <w:r w:rsidRPr="004C488E">
              <w:rPr>
                <w:rFonts w:ascii="Verdana" w:eastAsia="Times New Roman" w:hAnsi="Verdana" w:cs="Times New Roman"/>
                <w:color w:val="444444"/>
                <w:sz w:val="15"/>
                <w:szCs w:val="15"/>
                <w:lang w:eastAsia="pt-BR"/>
              </w:rPr>
              <w:t>(</w:t>
            </w:r>
            <w:proofErr w:type="gramEnd"/>
            <w:r w:rsidRPr="004C488E">
              <w:rPr>
                <w:rFonts w:ascii="Verdana" w:eastAsia="Times New Roman" w:hAnsi="Verdana" w:cs="Times New Roman"/>
                <w:color w:val="444444"/>
                <w:sz w:val="15"/>
                <w:szCs w:val="15"/>
                <w:lang w:eastAsia="pt-BR"/>
              </w:rPr>
              <w:t>Empresa de grande porte - multinacional (Brasil) - no segmento metalúrgico, siderúrgico )</w:t>
            </w:r>
            <w:r w:rsidRPr="004C488E">
              <w:rPr>
                <w:rFonts w:ascii="Verdana" w:eastAsia="Times New Roman" w:hAnsi="Verdana" w:cs="Times New Roman"/>
                <w:b/>
                <w:bCs/>
                <w:color w:val="444444"/>
                <w:sz w:val="20"/>
                <w:szCs w:val="20"/>
                <w:lang w:eastAsia="pt-BR"/>
              </w:rPr>
              <w:br/>
            </w:r>
            <w:r w:rsidRPr="004C488E">
              <w:rPr>
                <w:rFonts w:ascii="Verdana" w:eastAsia="Times New Roman" w:hAnsi="Verdana" w:cs="Times New Roman"/>
                <w:b/>
                <w:bCs/>
                <w:i/>
                <w:iCs/>
                <w:color w:val="444444"/>
                <w:sz w:val="20"/>
                <w:szCs w:val="20"/>
                <w:lang w:eastAsia="pt-BR"/>
              </w:rPr>
              <w:t>operador de maquinas/regulagem</w:t>
            </w:r>
            <w:r w:rsidRPr="004C488E">
              <w:rPr>
                <w:rFonts w:ascii="Verdana" w:eastAsia="Times New Roman" w:hAnsi="Verdana" w:cs="Times New Roman"/>
                <w:b/>
                <w:bCs/>
                <w:color w:val="444444"/>
                <w:sz w:val="20"/>
                <w:szCs w:val="20"/>
                <w:lang w:eastAsia="pt-BR"/>
              </w:rPr>
              <w:br/>
            </w:r>
            <w:r w:rsidRPr="004C488E">
              <w:rPr>
                <w:rFonts w:ascii="Verdana" w:eastAsia="Times New Roman" w:hAnsi="Verdana" w:cs="Times New Roman"/>
                <w:color w:val="444444"/>
                <w:sz w:val="20"/>
                <w:szCs w:val="20"/>
                <w:lang w:eastAsia="pt-BR"/>
              </w:rPr>
              <w:t>Operador de maquinas no setor de usinagem do processo de fabricação da SCHULZ, regulagem dos equipamentos de usinagem na troca de forma e bitola de peças a serem usinadas, </w:t>
            </w:r>
            <w:r w:rsidRPr="004C488E">
              <w:rPr>
                <w:rFonts w:ascii="Verdana" w:eastAsia="Times New Roman" w:hAnsi="Verdana" w:cs="Times New Roman"/>
                <w:b/>
                <w:bCs/>
                <w:color w:val="444444"/>
                <w:sz w:val="20"/>
                <w:szCs w:val="20"/>
                <w:lang w:eastAsia="pt-BR"/>
              </w:rPr>
              <w:t>experiência na movimentação de carga</w:t>
            </w:r>
          </w:p>
        </w:tc>
      </w:tr>
    </w:tbl>
    <w:p w:rsidR="00AC7E31" w:rsidRDefault="00AC7E31"/>
    <w:sectPr w:rsidR="00AC7E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C4BD6"/>
    <w:multiLevelType w:val="multilevel"/>
    <w:tmpl w:val="349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0BC5353"/>
    <w:multiLevelType w:val="multilevel"/>
    <w:tmpl w:val="C312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E31"/>
    <w:rsid w:val="001C1948"/>
    <w:rsid w:val="0042570D"/>
    <w:rsid w:val="004C488E"/>
    <w:rsid w:val="00AC7E31"/>
    <w:rsid w:val="00D639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C7E31"/>
    <w:rPr>
      <w:color w:val="0000FF" w:themeColor="hyperlink"/>
      <w:u w:val="single"/>
    </w:rPr>
  </w:style>
  <w:style w:type="character" w:customStyle="1" w:styleId="apple-converted-space">
    <w:name w:val="apple-converted-space"/>
    <w:basedOn w:val="Fontepargpadro"/>
    <w:rsid w:val="00AC7E31"/>
  </w:style>
  <w:style w:type="character" w:customStyle="1" w:styleId="ecxmsohyperlink">
    <w:name w:val="ecxmsohyperlink"/>
    <w:basedOn w:val="Fontepargpadro"/>
    <w:rsid w:val="00AC7E31"/>
  </w:style>
  <w:style w:type="paragraph" w:customStyle="1" w:styleId="ecxmsonormal">
    <w:name w:val="ecxmsonormal"/>
    <w:basedOn w:val="Normal"/>
    <w:rsid w:val="004C48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listparagraph">
    <w:name w:val="ecxmsolistparagraph"/>
    <w:basedOn w:val="Normal"/>
    <w:rsid w:val="004C488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C7E31"/>
    <w:rPr>
      <w:color w:val="0000FF" w:themeColor="hyperlink"/>
      <w:u w:val="single"/>
    </w:rPr>
  </w:style>
  <w:style w:type="character" w:customStyle="1" w:styleId="apple-converted-space">
    <w:name w:val="apple-converted-space"/>
    <w:basedOn w:val="Fontepargpadro"/>
    <w:rsid w:val="00AC7E31"/>
  </w:style>
  <w:style w:type="character" w:customStyle="1" w:styleId="ecxmsohyperlink">
    <w:name w:val="ecxmsohyperlink"/>
    <w:basedOn w:val="Fontepargpadro"/>
    <w:rsid w:val="00AC7E31"/>
  </w:style>
  <w:style w:type="paragraph" w:customStyle="1" w:styleId="ecxmsonormal">
    <w:name w:val="ecxmsonormal"/>
    <w:basedOn w:val="Normal"/>
    <w:rsid w:val="004C48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listparagraph">
    <w:name w:val="ecxmsolistparagraph"/>
    <w:basedOn w:val="Normal"/>
    <w:rsid w:val="004C488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467</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Walmir</dc:creator>
  <cp:lastModifiedBy>Walmir</cp:lastModifiedBy>
  <cp:revision>1</cp:revision>
  <dcterms:created xsi:type="dcterms:W3CDTF">2015-04-24T22:21:00Z</dcterms:created>
  <dcterms:modified xsi:type="dcterms:W3CDTF">2015-04-25T00:08:00Z</dcterms:modified>
</cp:coreProperties>
</file>